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6D5BDF"/>
          <w:sz w:val="18"/>
        </w:rPr>
        <w:t>EVRISKINDEX.COM</w:t>
      </w:r>
    </w:p>
    <w:p>
      <w:pPr>
        <w:pStyle w:val="Title"/>
      </w:pPr>
      <w:r>
        <w:t>Canada and Quebec EV Buyer Guide</w:t>
      </w:r>
    </w:p>
    <w:p>
      <w:pPr>
        <w:spacing w:after="240"/>
      </w:pPr>
      <w:r>
        <w:rPr>
          <w:i/>
          <w:color w:val="555E75"/>
          <w:sz w:val="22"/>
        </w:rPr>
        <w:t>A practical overview of changing incentives, winter use, charging, contracts, warranties, and records to verify before you buy.</w:t>
      </w:r>
    </w:p>
    <w:tbl>
      <w:tblPr>
        <w:tblW w:type="auto" w:w="0"/>
        <w:jc w:val="center"/>
        <w:tblLook w:firstColumn="1" w:firstRow="1" w:lastColumn="0" w:lastRow="0" w:noHBand="0" w:noVBand="1" w:val="04A0"/>
      </w:tblPr>
      <w:tblGrid>
        <w:gridCol w:w="9972"/>
      </w:tblGrid>
      <w:tr>
        <w:tc>
          <w:tcPr>
            <w:tcW w:type="dxa" w:w="9972"/>
            <w:shd w:fill="F1EEFF"/>
            <w:tcBorders>
              <w:top w:val="single" w:sz="6" w:color="C8C1F6"/>
              <w:left w:val="single" w:sz="6" w:color="C8C1F6"/>
              <w:bottom w:val="single" w:sz="6" w:color="C8C1F6"/>
              <w:right w:val="single" w:sz="6" w:color="C8C1F6"/>
              <w:insideH w:val="single" w:sz="6" w:color="C8C1F6"/>
              <w:insideV w:val="single" w:sz="6" w:color="C8C1F6"/>
            </w:tcBorders>
          </w:tcPr>
          <w:p>
            <w:r>
              <w:rPr>
                <w:b/>
                <w:color w:val="6D5BDF"/>
              </w:rPr>
              <w:t>PROGRAMS CHANGE OFTEN</w:t>
              <w:br/>
            </w:r>
            <w:r>
              <w:t>Do not rely on an old rebate amount, eligibility rule, or deadline. Check the current federal and provincial program pages on the day you sign, and have the dealer show exactly how any incentive appears in the contract.</w:t>
            </w:r>
          </w:p>
        </w:tc>
      </w:tr>
    </w:tbl>
    <w:p>
      <w:pPr>
        <w:spacing w:after="20"/>
      </w:pPr>
    </w:p>
    <w:p>
      <w:pPr>
        <w:pStyle w:val="Heading1"/>
      </w:pPr>
      <w:r>
        <w:t>1. Incentive Verification</w:t>
      </w:r>
    </w:p>
    <w:p>
      <w:pPr>
        <w:ind w:left="142" w:hanging="142"/>
      </w:pPr>
      <w:r>
        <w:rPr>
          <w:sz w:val="20"/>
        </w:rPr>
        <w:t>☐  Confirm whether the program is active for the purchase date, vehicle type, model, price, buyer, and registration location.</w:t>
      </w:r>
    </w:p>
    <w:p>
      <w:pPr>
        <w:ind w:left="142" w:hanging="142"/>
      </w:pPr>
      <w:r>
        <w:rPr>
          <w:sz w:val="20"/>
        </w:rPr>
        <w:t>☐  Ask whether the incentive is applied at the point of sale or claimed later.</w:t>
      </w:r>
    </w:p>
    <w:p>
      <w:pPr>
        <w:ind w:left="142" w:hanging="142"/>
      </w:pPr>
      <w:r>
        <w:rPr>
          <w:sz w:val="20"/>
        </w:rPr>
        <w:t>☐  Check whether used vehicles, leases, demonstrators, imports, or prior registrations are eligible.</w:t>
      </w:r>
    </w:p>
    <w:p>
      <w:pPr>
        <w:ind w:left="142" w:hanging="142"/>
      </w:pPr>
      <w:r>
        <w:rPr>
          <w:sz w:val="20"/>
        </w:rPr>
        <w:t>☐  Keep the eligibility page, dealer calculation, contract, and proof of application.</w:t>
      </w:r>
    </w:p>
    <w:p>
      <w:pPr>
        <w:ind w:left="142" w:hanging="142"/>
      </w:pPr>
      <w:r>
        <w:rPr>
          <w:sz w:val="20"/>
        </w:rPr>
        <w:t>☐  Do not treat an advertised incentive as guaranteed until eligibility is confirmed in writing.</w:t>
      </w:r>
    </w:p>
    <w:p>
      <w:pPr>
        <w:pStyle w:val="Heading1"/>
      </w:pPr>
      <w:r>
        <w:t>2. Quebec Contract and Consumer-Record Checklist</w:t>
      </w:r>
    </w:p>
    <w:p>
      <w:pPr>
        <w:ind w:left="142" w:hanging="142"/>
      </w:pPr>
      <w:r>
        <w:rPr>
          <w:sz w:val="20"/>
        </w:rPr>
        <w:t>☐  Get the total price and every fee in writing before signing.</w:t>
      </w:r>
    </w:p>
    <w:p>
      <w:pPr>
        <w:ind w:left="142" w:hanging="142"/>
      </w:pPr>
      <w:r>
        <w:rPr>
          <w:sz w:val="20"/>
        </w:rPr>
        <w:t>☐  Request the written estimate and authorize changes in a traceable way for repair work.</w:t>
      </w:r>
    </w:p>
    <w:p>
      <w:pPr>
        <w:ind w:left="142" w:hanging="142"/>
      </w:pPr>
      <w:r>
        <w:rPr>
          <w:sz w:val="20"/>
        </w:rPr>
        <w:t>☐  Keep advertisements, texts, emails, inspection reports, contracts, invoices, warranty booklets, and payment records.</w:t>
      </w:r>
    </w:p>
    <w:p>
      <w:pPr>
        <w:ind w:left="142" w:hanging="142"/>
      </w:pPr>
      <w:r>
        <w:rPr>
          <w:sz w:val="20"/>
        </w:rPr>
        <w:t>☐  Ask the dealer to identify which warranty is statutory, manufacturer-backed, dealer-backed, or third-party.</w:t>
      </w:r>
    </w:p>
    <w:p>
      <w:pPr>
        <w:ind w:left="142" w:hanging="142"/>
      </w:pPr>
      <w:r>
        <w:rPr>
          <w:sz w:val="20"/>
        </w:rPr>
        <w:t>☐  For a dispute, organize the facts chronologically and consult the Office de la protection du consommateur or a qualified adviser for the rules that apply to your case.</w:t>
      </w:r>
    </w:p>
    <w:p>
      <w:pPr>
        <w:pStyle w:val="Heading1"/>
      </w:pPr>
      <w:r>
        <w:t>3. Winter Range and Charging</w:t>
      </w:r>
    </w:p>
    <w:p>
      <w:pPr>
        <w:ind w:left="142" w:hanging="142"/>
      </w:pPr>
      <w:r>
        <w:rPr>
          <w:sz w:val="20"/>
        </w:rPr>
        <w:t>☐  Cold weather can reduce range and charging speed. The effect varies by temperature, wind, speed, tires, trip length, battery chemistry, heat pump, and preconditioning.</w:t>
      </w:r>
    </w:p>
    <w:p>
      <w:pPr>
        <w:ind w:left="142" w:hanging="142"/>
      </w:pPr>
      <w:r>
        <w:rPr>
          <w:sz w:val="20"/>
        </w:rPr>
        <w:t>☐  Precondition while plugged in when the vehicle supports it.</w:t>
      </w:r>
    </w:p>
    <w:p>
      <w:pPr>
        <w:ind w:left="142" w:hanging="142"/>
      </w:pPr>
      <w:r>
        <w:rPr>
          <w:sz w:val="20"/>
        </w:rPr>
        <w:t>☐  Plan a reserve for winter trips and confirm that destination chargers are actually accessible and compatible.</w:t>
      </w:r>
    </w:p>
    <w:p>
      <w:pPr>
        <w:ind w:left="142" w:hanging="142"/>
      </w:pPr>
      <w:r>
        <w:rPr>
          <w:sz w:val="20"/>
        </w:rPr>
        <w:t>☐  Use winter tires that meet Quebec requirements and the vehicle's load, speed, and size specifications.</w:t>
      </w:r>
    </w:p>
    <w:p>
      <w:pPr>
        <w:ind w:left="142" w:hanging="142"/>
      </w:pPr>
      <w:r>
        <w:rPr>
          <w:sz w:val="20"/>
        </w:rPr>
        <w:t>☐  Ask the seller to demonstrate cabin heat, battery preconditioning, defrosting, and charging in realistic conditions.</w:t>
      </w:r>
    </w:p>
    <w:p>
      <w:pPr>
        <w:pStyle w:val="Heading1"/>
      </w:pPr>
      <w:r>
        <w:t>4. Home, Apartment, and Condo Charging</w:t>
      </w:r>
    </w:p>
    <w:p>
      <w:pPr>
        <w:ind w:left="142" w:hanging="142"/>
      </w:pPr>
      <w:r>
        <w:rPr>
          <w:sz w:val="20"/>
        </w:rPr>
        <w:t>☐  Get written permission and an electrical assessment before installing charging equipment in a rental or shared building.</w:t>
      </w:r>
    </w:p>
    <w:p>
      <w:pPr>
        <w:ind w:left="142" w:hanging="142"/>
      </w:pPr>
      <w:r>
        <w:rPr>
          <w:sz w:val="20"/>
        </w:rPr>
        <w:t>☐  Confirm who owns the equipment, pays for installation and electricity, maintains it, and restores the property if you move.</w:t>
      </w:r>
    </w:p>
    <w:p>
      <w:pPr>
        <w:ind w:left="142" w:hanging="142"/>
      </w:pPr>
      <w:r>
        <w:rPr>
          <w:sz w:val="20"/>
        </w:rPr>
        <w:t>☐  Check panel capacity, load management, cable routing, fire-safety requirements, insurance, permits, and electrician qualifications.</w:t>
      </w:r>
    </w:p>
    <w:p>
      <w:pPr>
        <w:ind w:left="142" w:hanging="142"/>
      </w:pPr>
      <w:r>
        <w:rPr>
          <w:sz w:val="20"/>
        </w:rPr>
        <w:t>☐  For a condominium, review the declaration, building rules, parking ownership, and the syndicate's process before committing to a vehicle.</w:t>
      </w:r>
    </w:p>
    <w:p>
      <w:pPr>
        <w:ind w:left="142" w:hanging="142"/>
      </w:pPr>
      <w:r>
        <w:rPr>
          <w:sz w:val="20"/>
        </w:rPr>
        <w:t>☐  Use the current provincial, municipal, utility, and building-program requirements rather than relying on a general online summary.</w:t>
      </w:r>
    </w:p>
    <w:p>
      <w:pPr>
        <w:pStyle w:val="Heading1"/>
      </w:pPr>
      <w:r>
        <w:t>5. Insurance and Financing</w:t>
      </w:r>
    </w:p>
    <w:p>
      <w:pPr>
        <w:ind w:left="142" w:hanging="142"/>
      </w:pPr>
      <w:r>
        <w:rPr>
          <w:sz w:val="20"/>
        </w:rPr>
        <w:t>☐  Get an insurance quote for the exact VIN before signing. Premiums and coverage vary significantly by driver and vehicle.</w:t>
      </w:r>
    </w:p>
    <w:p>
      <w:pPr>
        <w:ind w:left="142" w:hanging="142"/>
      </w:pPr>
      <w:r>
        <w:rPr>
          <w:sz w:val="20"/>
        </w:rPr>
        <w:t>☐  Ask how battery damage, underbody impact, charging equipment, towing, rental transportation, depreciation, and replacement cost are handled.</w:t>
      </w:r>
    </w:p>
    <w:p>
      <w:pPr>
        <w:ind w:left="142" w:hanging="142"/>
      </w:pPr>
      <w:r>
        <w:rPr>
          <w:sz w:val="20"/>
        </w:rPr>
        <w:t>☐  Compare total cost of borrowing, not only the payment.</w:t>
      </w:r>
    </w:p>
    <w:p>
      <w:pPr>
        <w:ind w:left="142" w:hanging="142"/>
      </w:pPr>
      <w:r>
        <w:rPr>
          <w:sz w:val="20"/>
        </w:rPr>
        <w:t>☐  Keep trade-in value and loan payoff separate so negative equity is visible.</w:t>
      </w:r>
    </w:p>
    <w:p>
      <w:pPr>
        <w:ind w:left="142" w:hanging="142"/>
      </w:pPr>
      <w:r>
        <w:rPr>
          <w:sz w:val="20"/>
        </w:rPr>
        <w:t>☐  Consider depreciation and warranty expiry when choosing a long loan term.</w:t>
      </w:r>
    </w:p>
    <w:p>
      <w:pPr>
        <w:pStyle w:val="Heading1"/>
      </w:pPr>
      <w:r>
        <w:t>6. Cross-Border and Imported EVs</w:t>
      </w:r>
    </w:p>
    <w:p>
      <w:pPr>
        <w:ind w:left="142" w:hanging="142"/>
      </w:pPr>
      <w:r>
        <w:rPr>
          <w:sz w:val="20"/>
        </w:rPr>
        <w:t>☐  Confirm admissibility, charging compatibility, warranty coverage, connected services, recall completion, language requirements, and parts availability.</w:t>
      </w:r>
    </w:p>
    <w:p>
      <w:pPr>
        <w:ind w:left="142" w:hanging="142"/>
      </w:pPr>
      <w:r>
        <w:rPr>
          <w:sz w:val="20"/>
        </w:rPr>
        <w:t>☐  Check whether incentives and manufacturer support apply to an imported or previously registered vehicle.</w:t>
      </w:r>
    </w:p>
    <w:p>
      <w:pPr>
        <w:ind w:left="142" w:hanging="142"/>
      </w:pPr>
      <w:r>
        <w:rPr>
          <w:sz w:val="20"/>
        </w:rPr>
        <w:t>☐  Verify the title, lien, odometer, damage, and registration history in every relevant jurisdiction.</w:t>
      </w:r>
    </w:p>
    <w:p>
      <w:pPr>
        <w:pStyle w:val="Heading1"/>
      </w:pPr>
      <w:r>
        <w:t>Official Sources to Check</w:t>
      </w:r>
    </w:p>
    <w:p>
      <w:pPr>
        <w:ind w:left="142" w:hanging="142"/>
      </w:pPr>
      <w:r>
        <w:rPr>
          <w:sz w:val="20"/>
        </w:rPr>
        <w:t>•  Transport Canada: recalls and federal zero-emission vehicle information.</w:t>
      </w:r>
    </w:p>
    <w:p>
      <w:pPr>
        <w:ind w:left="142" w:hanging="142"/>
      </w:pPr>
      <w:r>
        <w:rPr>
          <w:sz w:val="20"/>
        </w:rPr>
        <w:t>•  Government of Quebec: current electric-vehicle and charging financial assistance.</w:t>
      </w:r>
    </w:p>
    <w:p>
      <w:pPr>
        <w:ind w:left="142" w:hanging="142"/>
      </w:pPr>
      <w:r>
        <w:rPr>
          <w:sz w:val="20"/>
        </w:rPr>
        <w:t>•  Office de la protection du consommateur: Quebec vehicle purchase, warranty, repair, and complaint information.</w:t>
      </w:r>
    </w:p>
    <w:p>
      <w:pPr>
        <w:ind w:left="142" w:hanging="142"/>
      </w:pPr>
      <w:r>
        <w:rPr>
          <w:sz w:val="20"/>
        </w:rPr>
        <w:t>•  SAAQ and your insurer: registration and insurance requirements.</w:t>
      </w:r>
    </w:p>
    <w:p>
      <w:pPr>
        <w:ind w:left="142" w:hanging="142"/>
      </w:pPr>
      <w:r>
        <w:rPr>
          <w:sz w:val="20"/>
        </w:rPr>
        <w:t>•  The vehicle manufacturer: VIN-specific recalls, campaigns, warranty terms, and approved service information.</w:t>
      </w:r>
    </w:p>
    <w:tbl>
      <w:tblPr>
        <w:tblW w:type="auto" w:w="0"/>
        <w:jc w:val="center"/>
        <w:tblLook w:firstColumn="1" w:firstRow="1" w:lastColumn="0" w:lastRow="0" w:noHBand="0" w:noVBand="1" w:val="04A0"/>
      </w:tblPr>
      <w:tblGrid>
        <w:gridCol w:w="9972"/>
      </w:tblGrid>
      <w:tr>
        <w:tc>
          <w:tcPr>
            <w:tcW w:type="dxa" w:w="9972"/>
            <w:shd w:fill="F0FFF4"/>
            <w:tcBorders>
              <w:top w:val="single" w:sz="6" w:color="C8C1F6"/>
              <w:left w:val="single" w:sz="6" w:color="C8C1F6"/>
              <w:bottom w:val="single" w:sz="6" w:color="C8C1F6"/>
              <w:right w:val="single" w:sz="6" w:color="C8C1F6"/>
              <w:insideH w:val="single" w:sz="6" w:color="C8C1F6"/>
              <w:insideV w:val="single" w:sz="6" w:color="C8C1F6"/>
            </w:tcBorders>
          </w:tcPr>
          <w:p>
            <w:r>
              <w:rPr>
                <w:b/>
                <w:color w:val="6D5BDF"/>
              </w:rPr>
              <w:t>NEXT STEP</w:t>
              <w:br/>
            </w:r>
            <w:r>
              <w:t>Use Vehicle Purchase Buddy to review the complete Canadian dealer offer and financing, then research the exact model year with the Used EV Risk Report.</w:t>
            </w:r>
          </w:p>
        </w:tc>
      </w:tr>
    </w:tbl>
    <w:p>
      <w:pPr>
        <w:spacing w:after="20"/>
      </w:pPr>
    </w:p>
    <w:p/>
    <w:tbl>
      <w:tblPr>
        <w:tblW w:type="auto" w:w="0"/>
        <w:jc w:val="center"/>
        <w:tblLook w:firstColumn="1" w:firstRow="1" w:lastColumn="0" w:lastRow="0" w:noHBand="0" w:noVBand="1" w:val="04A0"/>
      </w:tblPr>
      <w:tblGrid>
        <w:gridCol w:w="9972"/>
      </w:tblGrid>
      <w:tr>
        <w:tc>
          <w:tcPr>
            <w:tcW w:type="dxa" w:w="9972"/>
            <w:shd w:fill="F7F7FA"/>
            <w:tcBorders>
              <w:top w:val="single" w:sz="6" w:color="DDDFE8"/>
              <w:left w:val="single" w:sz="6" w:color="DDDFE8"/>
              <w:bottom w:val="single" w:sz="6" w:color="DDDFE8"/>
              <w:right w:val="single" w:sz="6" w:color="DDDFE8"/>
              <w:insideH w:val="single" w:sz="6" w:color="DDDFE8"/>
              <w:insideV w:val="single" w:sz="6" w:color="DDDFE8"/>
            </w:tcBorders>
          </w:tcPr>
          <w:p>
            <w:r>
              <w:rPr>
                <w:b/>
                <w:color w:val="555E75"/>
                <w:sz w:val="17"/>
              </w:rPr>
              <w:t xml:space="preserve">Important: </w:t>
            </w:r>
            <w:r>
              <w:rPr>
                <w:color w:val="555E75"/>
                <w:sz w:val="17"/>
              </w:rPr>
              <w:t>This resource is educational and does not replace a professional vehicle inspection, manufacturer documentation, legal advice, financial advice, or official recall and incentive databases. Rules, programs, warranties, and vehicle conditions change. Verify current details before acting.</w:t>
            </w:r>
          </w:p>
        </w:tc>
      </w:tr>
    </w:tbl>
    <w:sectPr w:rsidR="00FC693F" w:rsidRPr="0006063C" w:rsidSect="00034616">
      <w:headerReference w:type="default" r:id="rId9"/>
      <w:footerReference w:type="default" r:id="rId10"/>
      <w:pgSz w:w="12240" w:h="15840"/>
      <w:pgMar w:top="1020"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55E75"/>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b/>
        <w:color w:val="6D5BDF"/>
        <w:sz w:val="18"/>
      </w:rPr>
      <w:t>EVRiskIndex.com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rial" w:hAnsi="Arial"/>
      <w:b/>
      <w:bCs/>
      <w:color w:val="6D5BDF"/>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rial" w:hAnsi="Arial"/>
      <w:b/>
      <w:bCs/>
      <w:color w:val="0F17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Arial" w:hAnsi="Arial"/>
      <w:b/>
      <w:color w:val="0F172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40"/>
      <w:ind w:left="198" w:right="198"/>
    </w:pPr>
    <w:rPr>
      <w:rFonts w:ascii="Arial" w:hAnsi="Arial"/>
      <w:color w:val="0F172A"/>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Canada and Quebec EV Buyer Guide</dc:title>
  <dc:subject>Independent electric-vehicle consumer information</dc:subject>
  <dc:creator>EV Risk Index Editorial</dc:creator>
  <cp:keywords>electric vehicle, EV buyer, EV warranty, EV inspection</cp:keywords>
  <dc:description>Published by EVRiskIndex.com</dc:description>
  <cp:lastModifiedBy>EV Risk Index Editorial</cp:lastModifiedBy>
  <cp:revision>1</cp:revision>
  <dcterms:created xsi:type="dcterms:W3CDTF">2026-08-05T12:00:00Z</dcterms:created>
  <dcterms:modified xsi:type="dcterms:W3CDTF">2026-08-05T12:00:00Z</dcterms:modified>
  <cp:category>EV buyer resource</cp:category>
</cp:coreProperties>
</file>