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D5BDF"/>
          <w:sz w:val="18"/>
        </w:rPr>
        <w:t>EVRISKINDEX.COM</w:t>
      </w:r>
    </w:p>
    <w:p>
      <w:pPr>
        <w:pStyle w:val="Title"/>
      </w:pPr>
      <w:r>
        <w:t>EV Repair Invoice Review Guide</w:t>
      </w:r>
    </w:p>
    <w:p>
      <w:pPr>
        <w:spacing w:after="240"/>
      </w:pPr>
      <w:r>
        <w:rPr>
          <w:i/>
          <w:color w:val="555E75"/>
          <w:sz w:val="22"/>
        </w:rPr>
        <w:t>A line-by-line worksheet for understanding diagnostic charges, warranty status, recall overlap, parts, labour, taxes, and authorizations.</w:t>
      </w:r>
    </w:p>
    <w:p>
      <w:pPr>
        <w:pStyle w:val="Heading1"/>
      </w:pPr>
      <w:r>
        <w:t>Start with the Four Documents</w:t>
      </w:r>
    </w:p>
    <w:p>
      <w:pPr>
        <w:ind w:left="142" w:hanging="142"/>
      </w:pPr>
      <w:r>
        <w:rPr>
          <w:sz w:val="20"/>
        </w:rPr>
        <w:t>☐  The original customer complaint or work authorization.</w:t>
      </w:r>
    </w:p>
    <w:p>
      <w:pPr>
        <w:ind w:left="142" w:hanging="142"/>
      </w:pPr>
      <w:r>
        <w:rPr>
          <w:sz w:val="20"/>
        </w:rPr>
        <w:t>☐  The written estimate and any approved revisions.</w:t>
      </w:r>
    </w:p>
    <w:p>
      <w:pPr>
        <w:ind w:left="142" w:hanging="142"/>
      </w:pPr>
      <w:r>
        <w:rPr>
          <w:sz w:val="20"/>
        </w:rPr>
        <w:t>☐  The final invoice or repair order.</w:t>
      </w:r>
    </w:p>
    <w:p>
      <w:pPr>
        <w:ind w:left="142" w:hanging="142"/>
      </w:pPr>
      <w:r>
        <w:rPr>
          <w:sz w:val="20"/>
        </w:rPr>
        <w:t>☐  The applicable warranty, recall, campaign, service contract, or goodwill decision.</w:t>
      </w:r>
    </w:p>
    <w:p>
      <w:pPr>
        <w:pStyle w:val="Heading1"/>
      </w:pPr>
      <w:r>
        <w:t>What Every Invoice Should Let You Identify</w:t>
      </w:r>
    </w:p>
    <w:p>
      <w:pPr>
        <w:ind w:left="142" w:hanging="142"/>
      </w:pPr>
      <w:r>
        <w:rPr>
          <w:sz w:val="20"/>
        </w:rPr>
        <w:t>☐  Correct customer, vehicle, VIN, mileage, dates, and repair facility.</w:t>
      </w:r>
    </w:p>
    <w:p>
      <w:pPr>
        <w:ind w:left="142" w:hanging="142"/>
      </w:pPr>
      <w:r>
        <w:rPr>
          <w:sz w:val="20"/>
        </w:rPr>
        <w:t>☐  Your stated complaint, not only the shop's diagnosis.</w:t>
      </w:r>
    </w:p>
    <w:p>
      <w:pPr>
        <w:ind w:left="142" w:hanging="142"/>
      </w:pPr>
      <w:r>
        <w:rPr>
          <w:sz w:val="20"/>
        </w:rPr>
        <w:t>☐  Diagnostic steps, findings, fault codes, measurements, and conclusion.</w:t>
      </w:r>
    </w:p>
    <w:p>
      <w:pPr>
        <w:ind w:left="142" w:hanging="142"/>
      </w:pPr>
      <w:r>
        <w:rPr>
          <w:sz w:val="20"/>
        </w:rPr>
        <w:t>☐  Each labour operation, billed time or flat-rate amount, labour rate, part number, quantity, and price.</w:t>
      </w:r>
    </w:p>
    <w:p>
      <w:pPr>
        <w:ind w:left="142" w:hanging="142"/>
      </w:pPr>
      <w:r>
        <w:rPr>
          <w:sz w:val="20"/>
        </w:rPr>
        <w:t>☐  Which items were customer-pay, warranty, recall/campaign, internal, insurance, or goodwill.</w:t>
      </w:r>
    </w:p>
    <w:p>
      <w:pPr>
        <w:ind w:left="142" w:hanging="142"/>
      </w:pPr>
      <w:r>
        <w:rPr>
          <w:sz w:val="20"/>
        </w:rPr>
        <w:t>☐  Taxes, shop supplies, environmental charges, sublet work, towing, storage, and discounts.</w:t>
      </w:r>
    </w:p>
    <w:p>
      <w:pPr>
        <w:ind w:left="142" w:hanging="142"/>
      </w:pPr>
      <w:r>
        <w:rPr>
          <w:sz w:val="20"/>
        </w:rPr>
        <w:t>☐  What was completed, deferred, backordered, declined, or not reproduced.</w:t>
      </w:r>
    </w:p>
    <w:p>
      <w:pPr>
        <w:pStyle w:val="Heading1"/>
      </w:pPr>
      <w:r>
        <w:t>Questions to Ask About Diagnostic Charges</w:t>
      </w:r>
    </w:p>
    <w:p>
      <w:pPr>
        <w:ind w:left="142" w:hanging="142"/>
      </w:pPr>
      <w:r>
        <w:rPr>
          <w:sz w:val="20"/>
        </w:rPr>
        <w:t>☐  What exact test was performed and what result was obtained?</w:t>
      </w:r>
    </w:p>
    <w:p>
      <w:pPr>
        <w:ind w:left="142" w:hanging="142"/>
      </w:pPr>
      <w:r>
        <w:rPr>
          <w:sz w:val="20"/>
        </w:rPr>
        <w:t>☐  Was the diagnostic charge disclosed and authorized before work began?</w:t>
      </w:r>
    </w:p>
    <w:p>
      <w:pPr>
        <w:ind w:left="142" w:hanging="142"/>
      </w:pPr>
      <w:r>
        <w:rPr>
          <w:sz w:val="20"/>
        </w:rPr>
        <w:t>☐  Was any portion submitted to a manufacturer, warranty administrator, insurer, or recall campaign?</w:t>
      </w:r>
    </w:p>
    <w:p>
      <w:pPr>
        <w:ind w:left="142" w:hanging="142"/>
      </w:pPr>
      <w:r>
        <w:rPr>
          <w:sz w:val="20"/>
        </w:rPr>
        <w:t>☐  If no fault was found, what data was captured and what should be done when the symptom returns?</w:t>
      </w:r>
    </w:p>
    <w:p>
      <w:pPr>
        <w:ind w:left="142" w:hanging="142"/>
      </w:pPr>
      <w:r>
        <w:rPr>
          <w:sz w:val="20"/>
        </w:rPr>
        <w:t>☐  Did the shop follow a manufacturer procedure, and can it identify the procedure or bulletin?</w:t>
      </w:r>
    </w:p>
    <w:p>
      <w:pPr>
        <w:ind w:left="142" w:hanging="142"/>
      </w:pPr>
      <w:r>
        <w:rPr>
          <w:sz w:val="20"/>
        </w:rPr>
        <w:t>☐  Was diagnostic time duplicated inside another labour operation?</w:t>
      </w:r>
    </w:p>
    <w:p>
      <w:pPr>
        <w:pStyle w:val="Heading1"/>
      </w:pPr>
      <w:r>
        <w:t>Possible Red Flags to Clarify</w:t>
      </w:r>
    </w:p>
    <w:p>
      <w:pPr>
        <w:ind w:left="142" w:hanging="142"/>
      </w:pPr>
      <w:r>
        <w:rPr>
          <w:sz w:val="20"/>
        </w:rPr>
        <w:t>•  The complaint is missing or rewritten in a way that changes what you reported.</w:t>
      </w:r>
    </w:p>
    <w:p>
      <w:pPr>
        <w:ind w:left="142" w:hanging="142"/>
      </w:pPr>
      <w:r>
        <w:rPr>
          <w:sz w:val="20"/>
        </w:rPr>
        <w:t>•  “No fault found” appears without test results, road-test notes, or retained diagnostic codes.</w:t>
      </w:r>
    </w:p>
    <w:p>
      <w:pPr>
        <w:ind w:left="142" w:hanging="142"/>
      </w:pPr>
      <w:r>
        <w:rPr>
          <w:sz w:val="20"/>
        </w:rPr>
        <w:t>•  The same labour or part appears more than once without an explanation.</w:t>
      </w:r>
    </w:p>
    <w:p>
      <w:pPr>
        <w:ind w:left="142" w:hanging="142"/>
      </w:pPr>
      <w:r>
        <w:rPr>
          <w:sz w:val="20"/>
        </w:rPr>
        <w:t>•  A software update is billed without a campaign, bulletin, version, or stated result.</w:t>
      </w:r>
    </w:p>
    <w:p>
      <w:pPr>
        <w:ind w:left="142" w:hanging="142"/>
      </w:pPr>
      <w:r>
        <w:rPr>
          <w:sz w:val="20"/>
        </w:rPr>
        <w:t>•  Sublet work is charged but the third-party work is not identified.</w:t>
      </w:r>
    </w:p>
    <w:p>
      <w:pPr>
        <w:ind w:left="142" w:hanging="142"/>
      </w:pPr>
      <w:r>
        <w:rPr>
          <w:sz w:val="20"/>
        </w:rPr>
        <w:t>•  An estimate changed materially without documented authorization.</w:t>
      </w:r>
    </w:p>
    <w:p>
      <w:pPr>
        <w:ind w:left="142" w:hanging="142"/>
      </w:pPr>
      <w:r>
        <w:rPr>
          <w:sz w:val="20"/>
        </w:rPr>
        <w:t>•  Warranty, recall, or goodwill status is unclear.</w:t>
      </w:r>
    </w:p>
    <w:p>
      <w:pPr>
        <w:ind w:left="142" w:hanging="142"/>
      </w:pPr>
      <w:r>
        <w:rPr>
          <w:sz w:val="20"/>
        </w:rPr>
        <w:t>•  A recommendation is marked “declined” even though it was never explained or offered.</w:t>
      </w:r>
    </w:p>
    <w:p>
      <w:pPr>
        <w:pStyle w:val="Heading1"/>
      </w:pPr>
      <w:r>
        <w:t>Invoice Comparison Worksheet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  <w:cantSplit/>
        </w:trPr>
        <w:tc>
          <w:tcPr>
            <w:tcW w:type="dxa" w:w="1994"/>
            <w:shd w:fill="EEEAFB"/>
            <w:vAlign w:val="center"/>
          </w:tcPr>
          <w:p>
            <w:r>
              <w:rPr>
                <w:b/>
                <w:color w:val="0F172A"/>
                <w:sz w:val="17"/>
              </w:rPr>
              <w:t>Line item</w:t>
            </w:r>
          </w:p>
        </w:tc>
        <w:tc>
          <w:tcPr>
            <w:tcW w:type="dxa" w:w="1994"/>
            <w:shd w:fill="EEEAFB"/>
            <w:vAlign w:val="center"/>
          </w:tcPr>
          <w:p>
            <w:r>
              <w:rPr>
                <w:b/>
                <w:color w:val="0F172A"/>
                <w:sz w:val="17"/>
              </w:rPr>
              <w:t>Estimate</w:t>
            </w:r>
          </w:p>
        </w:tc>
        <w:tc>
          <w:tcPr>
            <w:tcW w:type="dxa" w:w="1994"/>
            <w:shd w:fill="EEEAFB"/>
            <w:vAlign w:val="center"/>
          </w:tcPr>
          <w:p>
            <w:r>
              <w:rPr>
                <w:b/>
                <w:color w:val="0F172A"/>
                <w:sz w:val="17"/>
              </w:rPr>
              <w:t>Final invoice</w:t>
            </w:r>
          </w:p>
        </w:tc>
        <w:tc>
          <w:tcPr>
            <w:tcW w:type="dxa" w:w="1994"/>
            <w:shd w:fill="EEEAFB"/>
            <w:vAlign w:val="center"/>
          </w:tcPr>
          <w:p>
            <w:r>
              <w:rPr>
                <w:b/>
                <w:color w:val="0F172A"/>
                <w:sz w:val="17"/>
              </w:rPr>
              <w:t>Coverage/status</w:t>
            </w:r>
          </w:p>
        </w:tc>
        <w:tc>
          <w:tcPr>
            <w:tcW w:type="dxa" w:w="1994"/>
            <w:shd w:fill="EEEAFB"/>
            <w:vAlign w:val="center"/>
          </w:tcPr>
          <w:p>
            <w:r>
              <w:rPr>
                <w:b/>
                <w:color w:val="0F172A"/>
                <w:sz w:val="17"/>
              </w:rPr>
              <w:t>Question or evidence needed</w:t>
            </w:r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  <w:tr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  <w:tc>
          <w:tcPr>
            <w:tcW w:type="dxa" w:w="1994"/>
            <w:tcBorders>
              <w:top w:val="single" w:sz="6" w:color="D9DCEF"/>
              <w:left w:val="single" w:sz="6" w:color="D9DCEF"/>
              <w:bottom w:val="single" w:sz="6" w:color="D9DCEF"/>
              <w:right w:val="single" w:sz="6" w:color="D9DCEF"/>
              <w:insideH w:val="single" w:sz="6" w:color="D9DCEF"/>
              <w:insideV w:val="single" w:sz="6" w:color="D9DCEF"/>
            </w:tcBorders>
          </w:tcPr>
          <w:p>
            <w:r/>
          </w:p>
        </w:tc>
      </w:tr>
    </w:tbl>
    <w:p>
      <w:pPr>
        <w:pStyle w:val="Heading1"/>
      </w:pPr>
      <w:r>
        <w:t>A Clear Dispute Message</w:t>
      </w:r>
    </w:p>
    <w:p>
      <w:r>
        <w:t>Subject: Request for clarification and correction of invoice [number]</w:t>
      </w:r>
    </w:p>
    <w:p>
      <w:r>
        <w:t>Dear [service manager],</w:t>
        <w:br/>
        <w:br/>
        <w:t>I am reviewing invoice [number] dated [date]. Please clarify the following items in writing: [list each line item and question]. Please also provide the original estimate, authorizations, diagnostic report, warranty or recall submission status, and any sublet documentation.</w:t>
        <w:br/>
        <w:br/>
        <w:t>I am not disputing properly authorized work; I am requesting enough information to understand the charges and correct any inaccurate or unsupported entries.</w:t>
        <w:br/>
        <w:br/>
        <w:t>Sincerely,</w:t>
        <w:br/>
        <w:t>[Name]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rPr>
          <w:tblHeader w:val="true"/>
          <w:cantSplit/>
        </w:trPr>
        <w:tc>
          <w:tcPr>
            <w:tcW w:type="dxa" w:w="9972"/>
            <w:shd w:fill="F0FFF4"/>
            <w:tcBorders>
              <w:top w:val="single" w:sz="6" w:color="C8C1F6"/>
              <w:left w:val="single" w:sz="6" w:color="C8C1F6"/>
              <w:bottom w:val="single" w:sz="6" w:color="C8C1F6"/>
              <w:right w:val="single" w:sz="6" w:color="C8C1F6"/>
              <w:insideH w:val="single" w:sz="6" w:color="C8C1F6"/>
              <w:insideV w:val="single" w:sz="6" w:color="C8C1F6"/>
            </w:tcBorders>
          </w:tcPr>
          <w:p>
            <w:r>
              <w:rPr>
                <w:b/>
                <w:color w:val="6D5BDF"/>
              </w:rPr>
              <w:t>NEXT STEP</w:t>
              <w:br/>
            </w:r>
            <w:r>
              <w:t>Upload the complete invoice, estimate, and related messages to the Invoice Analyzer for a structured review. Remove unnecessary personal information before sharing documents.</w:t>
            </w:r>
          </w:p>
        </w:tc>
      </w:tr>
    </w:tbl>
    <w:p>
      <w:pPr>
        <w:spacing w:after="2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rPr>
          <w:tblHeader w:val="true"/>
          <w:cantSplit/>
        </w:trPr>
        <w:tc>
          <w:tcPr>
            <w:tcW w:type="dxa" w:w="9972"/>
            <w:shd w:fill="F7F7FA"/>
            <w:tcBorders>
              <w:top w:val="single" w:sz="6" w:color="DDDFE8"/>
              <w:left w:val="single" w:sz="6" w:color="DDDFE8"/>
              <w:bottom w:val="single" w:sz="6" w:color="DDDFE8"/>
              <w:right w:val="single" w:sz="6" w:color="DDDFE8"/>
              <w:insideH w:val="single" w:sz="6" w:color="DDDFE8"/>
              <w:insideV w:val="single" w:sz="6" w:color="DDDFE8"/>
            </w:tcBorders>
          </w:tcPr>
          <w:p>
            <w:r>
              <w:rPr>
                <w:b/>
                <w:color w:val="555E75"/>
                <w:sz w:val="17"/>
              </w:rPr>
              <w:t xml:space="preserve">Important: </w:t>
            </w:r>
            <w:r>
              <w:rPr>
                <w:color w:val="555E75"/>
                <w:sz w:val="17"/>
              </w:rPr>
              <w:t>This resource is educational and does not replace a professional vehicle inspection, manufacturer documentation, legal advice, financial advice, or official recall and incentive databases. Rules, programs, warranties, and vehicle conditions change. Verify current details before acting.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55E75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6D5BDF"/>
        <w:sz w:val="18"/>
      </w:rPr>
      <w:t>EVRiskIndex.com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6D5BD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17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rial" w:hAnsi="Arial"/>
      <w:b/>
      <w:color w:val="0F172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00" w:after="140"/>
      <w:ind w:left="198" w:right="198"/>
    </w:pPr>
    <w:rPr>
      <w:rFonts w:ascii="Arial" w:hAnsi="Arial"/>
      <w:color w:val="0F172A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 Repair Invoice Review Guide</dc:title>
  <dc:subject>Independent electric-vehicle consumer information</dc:subject>
  <dc:creator>EV Risk Index Editorial</dc:creator>
  <cp:keywords>electric vehicle, EV buyer, EV warranty, EV inspection</cp:keywords>
  <dc:description>Published by EVRiskIndex.com</dc:description>
  <cp:lastModifiedBy>EV Risk Index Editorial</cp:lastModifiedBy>
  <cp:revision>1</cp:revision>
  <dcterms:created xsi:type="dcterms:W3CDTF">2026-08-05T12:00:00Z</dcterms:created>
  <dcterms:modified xsi:type="dcterms:W3CDTF">2026-08-05T12:00:00Z</dcterms:modified>
  <cp:category>EV buyer resource</cp:category>
</cp:coreProperties>
</file>